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7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24"/>
        <w:gridCol w:w="2025"/>
        <w:gridCol w:w="4050"/>
        <w:gridCol w:w="2025"/>
        <w:gridCol w:w="2025"/>
        <w:gridCol w:w="2025"/>
        <w:tblGridChange w:id="0">
          <w:tblGrid>
            <w:gridCol w:w="2024"/>
            <w:gridCol w:w="2025"/>
            <w:gridCol w:w="4050"/>
            <w:gridCol w:w="2025"/>
            <w:gridCol w:w="2025"/>
            <w:gridCol w:w="2025"/>
          </w:tblGrid>
        </w:tblGridChange>
      </w:tblGrid>
      <w:tr>
        <w:tc>
          <w:tcPr>
            <w:gridSpan w:val="6"/>
            <w:shd w:fill="49b8be" w:val="clear"/>
          </w:tcPr>
          <w:p w:rsidR="00000000" w:rsidDel="00000000" w:rsidP="00000000" w:rsidRDefault="00000000" w:rsidRPr="00000000" w14:paraId="00000001">
            <w:pPr>
              <w:jc w:val="center"/>
              <w:rPr>
                <w:b w:val="1"/>
                <w:sz w:val="48"/>
                <w:szCs w:val="4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Improvements Plan</w:t>
            </w:r>
          </w:p>
        </w:tc>
      </w:tr>
      <w:tr>
        <w:trPr>
          <w:trHeight w:val="720" w:hRule="atLeast"/>
        </w:trPr>
        <w:tc>
          <w:tcPr>
            <w:shd w:fill="49b8b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Serial Number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Improvement Identified and Reason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Room/Area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Review 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Signature</w:t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001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10.10.18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Instrument cleaning with a validated washer disinfector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Decontamination room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April 2019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i w:val="1"/>
              </w:rPr>
            </w:pPr>
            <w:r w:rsidDel="00000000" w:rsidR="00000000" w:rsidRPr="00000000">
              <w:rPr>
                <w:rFonts w:ascii="Courgette" w:cs="Courgette" w:eastAsia="Courgette" w:hAnsi="Courgette"/>
                <w:rtl w:val="0"/>
              </w:rPr>
              <w:t xml:space="preserve">Cfoster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002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10.10.18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Separate decontamination room with two sinks present and extra hand-washing facilities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Old store room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October 2019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i w:val="1"/>
              </w:rPr>
            </w:pPr>
            <w:r w:rsidDel="00000000" w:rsidR="00000000" w:rsidRPr="00000000">
              <w:rPr>
                <w:rFonts w:ascii="Courgette" w:cs="Courgette" w:eastAsia="Courgette" w:hAnsi="Courgette"/>
                <w:rtl w:val="0"/>
              </w:rPr>
              <w:t xml:space="preserve">Cfoster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003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21.11.18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Separate instrument storage room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Not known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November 2019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i w:val="1"/>
              </w:rPr>
            </w:pPr>
            <w:r w:rsidDel="00000000" w:rsidR="00000000" w:rsidRPr="00000000">
              <w:rPr>
                <w:rFonts w:ascii="Courgette" w:cs="Courgette" w:eastAsia="Courgette" w:hAnsi="Courgette"/>
                <w:rtl w:val="0"/>
              </w:rPr>
              <w:t xml:space="preserve">Cfoster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004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01.12.18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005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01.12.18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Practice Name: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i w:val="1"/>
          <w:sz w:val="24"/>
          <w:szCs w:val="24"/>
          <w:rtl w:val="0"/>
        </w:rPr>
        <w:t xml:space="preserve">Dental Nurse Network</w:t>
      </w:r>
      <w:r w:rsidDel="00000000" w:rsidR="00000000" w:rsidRPr="00000000">
        <w:rPr>
          <w:sz w:val="24"/>
          <w:szCs w:val="24"/>
          <w:rtl w:val="0"/>
        </w:rPr>
        <w:t xml:space="preserve">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IPC Lead: </w:t>
      </w:r>
      <w:r w:rsidDel="00000000" w:rsidR="00000000" w:rsidRPr="00000000">
        <w:rPr>
          <w:i w:val="1"/>
          <w:sz w:val="24"/>
          <w:szCs w:val="24"/>
          <w:rtl w:val="0"/>
        </w:rPr>
        <w:t xml:space="preserve">Chelsea Foster</w:t>
      </w:r>
      <w:r w:rsidDel="00000000" w:rsidR="00000000" w:rsidRPr="00000000">
        <w:rPr>
          <w:sz w:val="24"/>
          <w:szCs w:val="24"/>
          <w:rtl w:val="0"/>
        </w:rPr>
        <w:t xml:space="preserve">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Date completed: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10.10.18</w:t>
      </w:r>
      <w:r w:rsidDel="00000000" w:rsidR="00000000" w:rsidRPr="00000000">
        <w:rPr>
          <w:sz w:val="24"/>
          <w:szCs w:val="24"/>
          <w:rtl w:val="0"/>
        </w:rPr>
        <w:t xml:space="preserve">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Review Date: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April 2019</w:t>
      </w: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gette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19113" cy="614517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113" cy="6145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urgette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